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B7" w:rsidRPr="00DB6405" w:rsidRDefault="00DF44B7" w:rsidP="00DF44B7">
      <w:pPr>
        <w:spacing w:before="120"/>
        <w:jc w:val="center"/>
        <w:rPr>
          <w:b/>
          <w:bCs/>
          <w:snapToGrid w:val="0"/>
        </w:rPr>
      </w:pPr>
      <w:r w:rsidRPr="00DB6405">
        <w:rPr>
          <w:b/>
          <w:bCs/>
          <w:snapToGrid w:val="0"/>
        </w:rPr>
        <w:t>Phụ lục</w:t>
      </w:r>
    </w:p>
    <w:p w:rsidR="00DF44B7" w:rsidRPr="00DB6405" w:rsidRDefault="00DF44B7" w:rsidP="00DF44B7">
      <w:pPr>
        <w:spacing w:after="120"/>
        <w:jc w:val="center"/>
        <w:rPr>
          <w:bCs/>
          <w:snapToGrid w:val="0"/>
        </w:rPr>
      </w:pPr>
      <w:bookmarkStart w:id="0" w:name="_GoBack"/>
      <w:r>
        <w:rPr>
          <w:noProof/>
        </w:rPr>
        <mc:AlternateContent>
          <mc:Choice Requires="wps">
            <w:drawing>
              <wp:anchor distT="0" distB="0" distL="114300" distR="114300" simplePos="0" relativeHeight="251659264" behindDoc="0" locked="0" layoutInCell="1" allowOverlap="1">
                <wp:simplePos x="0" y="0"/>
                <wp:positionH relativeFrom="column">
                  <wp:posOffset>2999105</wp:posOffset>
                </wp:positionH>
                <wp:positionV relativeFrom="paragraph">
                  <wp:posOffset>466090</wp:posOffset>
                </wp:positionV>
                <wp:extent cx="2558415" cy="0"/>
                <wp:effectExtent l="0" t="0" r="133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8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6.15pt;margin-top:36.7pt;width:201.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by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ieTGZZOqGE3/YSlt8SjXX+g4SOhElB3VXHXUAa&#10;j2HHF+dRCCbeEsKpGtaqbaMdWk36gs4n40lMcNAqETZDmLP7XdlacmTBUPEJVUGwhzALBy0iWCOZ&#10;WF3nnqn2Msf4Vgc8FIZ0rrOLY77NR/PVbDXLBtl4uhpko6oaPK/LbDBdp+8n1buqLKv0e6CWZnmj&#10;hJA6sLu5N83+zh3Xe3Tx3d2/9zIkj+hRIpK9vSPp2NnQzIstdiDOGxuqEZqMho3B18sVbsSv6xj1&#10;8xew/AEAAP//AwBQSwMEFAAGAAgAAAAhAAvD+DrfAAAACQEAAA8AAABkcnMvZG93bnJldi54bWxM&#10;j8FOwkAQhu8kvsNmSLwQ2VLAYu2UEBMPHgUSr0t3bCvd2aa7pZWnd40HPM7Ml3++P9uOphEX6lxt&#10;GWExj0AQF1bXXCIcD68PGxDOK9aqsUwI3+Rgm99NMpVqO/A7Xfa+FCGEXaoQKu/bVEpXVGSUm9uW&#10;ONw+bWeUD2NXSt2pIYSbRsZR9CiNqjl8qFRLLxUV531vEMj160W0ezLl8e06zD7i69fQHhDvp+Pu&#10;GYSn0d9g+NUP6pAHp5PtWTvRIKySeBlQhGS5AhGATbKOQZz+FjLP5P8G+Q8AAAD//wMAUEsBAi0A&#10;FAAGAAgAAAAhALaDOJL+AAAA4QEAABMAAAAAAAAAAAAAAAAAAAAAAFtDb250ZW50X1R5cGVzXS54&#10;bWxQSwECLQAUAAYACAAAACEAOP0h/9YAAACUAQAACwAAAAAAAAAAAAAAAAAvAQAAX3JlbHMvLnJl&#10;bHNQSwECLQAUAAYACAAAACEAMqSG8iUCAABKBAAADgAAAAAAAAAAAAAAAAAuAgAAZHJzL2Uyb0Rv&#10;Yy54bWxQSwECLQAUAAYACAAAACEAC8P4Ot8AAAAJAQAADwAAAAAAAAAAAAAAAAB/BAAAZHJzL2Rv&#10;d25yZXYueG1sUEsFBgAAAAAEAAQA8wAAAIsFAAAAAA==&#10;"/>
            </w:pict>
          </mc:Fallback>
        </mc:AlternateContent>
      </w:r>
      <w:bookmarkEnd w:id="0"/>
      <w:r w:rsidRPr="00DB6405">
        <w:rPr>
          <w:b/>
          <w:bCs/>
          <w:snapToGrid w:val="0"/>
        </w:rPr>
        <w:t xml:space="preserve">DANH MỤC THỦ TỤC HÀNH CHÍNH THỰC HIỆN TIẾP NHẬN, TRẢ KẾT QUẢ GIẢI QUYẾT </w:t>
      </w:r>
      <w:r w:rsidRPr="00DB6405">
        <w:rPr>
          <w:b/>
          <w:bCs/>
          <w:snapToGrid w:val="0"/>
        </w:rPr>
        <w:br/>
        <w:t>KHÔNG PHỤ THUỘC VÀO ĐỊA GIỚI HÀNH CHÍNH TRÊN ĐỊA BÀN TỈNH QUẢNG NGÃI</w:t>
      </w:r>
      <w:r w:rsidRPr="00DB6405">
        <w:rPr>
          <w:b/>
          <w:bCs/>
          <w:snapToGrid w:val="0"/>
        </w:rPr>
        <w:br/>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23"/>
        <w:gridCol w:w="7791"/>
        <w:gridCol w:w="2127"/>
      </w:tblGrid>
      <w:tr w:rsidR="00DF44B7" w:rsidRPr="00DB6405" w:rsidTr="00D306F5">
        <w:tc>
          <w:tcPr>
            <w:tcW w:w="993" w:type="dxa"/>
            <w:shd w:val="clear" w:color="auto" w:fill="auto"/>
            <w:vAlign w:val="center"/>
          </w:tcPr>
          <w:p w:rsidR="00DF44B7" w:rsidRPr="00DB6405" w:rsidRDefault="00DF44B7" w:rsidP="00D306F5">
            <w:pPr>
              <w:spacing w:before="60" w:after="60"/>
              <w:jc w:val="center"/>
              <w:rPr>
                <w:b/>
              </w:rPr>
            </w:pPr>
            <w:r w:rsidRPr="00DB6405">
              <w:rPr>
                <w:b/>
              </w:rPr>
              <w:t>V</w:t>
            </w:r>
          </w:p>
        </w:tc>
        <w:tc>
          <w:tcPr>
            <w:tcW w:w="10914" w:type="dxa"/>
            <w:gridSpan w:val="2"/>
            <w:shd w:val="clear" w:color="auto" w:fill="auto"/>
            <w:vAlign w:val="center"/>
          </w:tcPr>
          <w:p w:rsidR="00DF44B7" w:rsidRPr="00DB6405" w:rsidRDefault="00DF44B7" w:rsidP="00D306F5">
            <w:pPr>
              <w:spacing w:before="60" w:after="60"/>
              <w:jc w:val="both"/>
              <w:rPr>
                <w:lang w:val="nl-NL"/>
              </w:rPr>
            </w:pPr>
            <w:r w:rsidRPr="00DB6405">
              <w:rPr>
                <w:b/>
              </w:rPr>
              <w:t>SỞ XÂY DỰNG</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rPr>
                <w:lang w:val="nl-NL"/>
              </w:rPr>
            </w:pPr>
            <w:r w:rsidRPr="00DB6405">
              <w:rPr>
                <w:b/>
              </w:rPr>
              <w:t>Lĩnh vực đường bộ</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1.001023</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cấp lại Giấy phép liên vận giữa Việt Nam và Campuchia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1.002861</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cấp lại Giấy phép vận tải đường bộ quốc tế giữa Việt Nam và Lào</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1.002856</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cấp lại Giấy phép liên vận giữa Việt Nam và Lào</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1.002877</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rPr>
                <w:rFonts w:eastAsia="Calibri"/>
                <w:highlight w:val="yellow"/>
              </w:rPr>
            </w:pPr>
            <w:r w:rsidRPr="00DB6405">
              <w:t>Cấp, cấp lại Giấy phép liên vận giữa Việt Nam, Lào và Campuchia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2.002288</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cấp lại Phù hiệu cho xe ô tô, xe bốn bánh có gắn động cơ kinh doanh vận tải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1.000703</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phép kinh doanh vận tải bằng xe ô tô, bằng xe bốn bánh có gắn động cơ</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2.002287</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phép kinh doanh vận tải bằng xe ô tô, bằng xe bốn bánh có gắn động cơ trường hợp Giấy phép kinh doanh bị mất, bị hỏng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2.002286</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phép kinh doanh vận tải bằng xe ô tô, bằng xe bốn bánh có gắn động cơ khi có sự thay đổi liên quan đến nội dung của Giấy phép kinh doanh hoặc Giấy phép kinh doanh bị thu hồi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2.002285</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khai thác tuyến vận tải hành khách cố định</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1.010702.H48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cấp lại Giấy phép vận tải đường bộ quốc tế ASEAN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1.010704.H48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cấp lại Giấy phép liên vận ASEAN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1.002829.H48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cấp lại Giấy phép vận tải đường bộ quốc tế GMS</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1.002817.H48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cấp lại Giấy phép liên vận GMS hoặc sổ TAD</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2.001034.H48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phép vận tải đường bộ quốc tế giữa Việt Nam và Trung Quốc loại A, B, C, E, F, G cho phương tiện của Việt Nam</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1.002334.H48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khai thác tuyến, bổ sung hoặc thay thế phương tiện khai thác tuyến vận tải hành khách định kỳ giữa Việt Nam và Trung Quốc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1.002847.H48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khai thác tuyến, bổ sung, thay thế phương tiện khai thác tuyến vận tải hành khách cố định giữa Việt Nam và Lào</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1.000302.H48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cấp lại Giấy phép vận tải đường bộ quốc tế giữa Việt Nam và Campuchia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1.000321.H48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khai thác tuyến, bổ sung hoặc thay thế phương tiện khai thác tuyến vận tải hành khách cố định giữa Việt Nam và Campuchia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1.002268</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khai thác tuyến, bổ sung hoặc thay thế phương tiện khai thác tuyến vận tải hành khách cố định giữa Việt Nam, Lào và Campuchia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2.001921</w:t>
            </w:r>
            <w:r w:rsidRPr="00DB6405">
              <w:rPr>
                <w:lang w:val="nl-NL"/>
              </w:rPr>
              <w:t>.000.00.00.H48</w:t>
            </w:r>
          </w:p>
        </w:tc>
        <w:tc>
          <w:tcPr>
            <w:tcW w:w="7791" w:type="dxa"/>
            <w:shd w:val="clear" w:color="auto" w:fill="auto"/>
            <w:vAlign w:val="center"/>
          </w:tcPr>
          <w:p w:rsidR="00DF44B7" w:rsidRPr="00DB6405" w:rsidRDefault="00DF44B7" w:rsidP="00D306F5">
            <w:pPr>
              <w:spacing w:before="60" w:after="60"/>
              <w:jc w:val="both"/>
            </w:pPr>
            <w:r w:rsidRPr="00DB6405">
              <w:t>Chấp thuận vị trí, quy mô, kích thước, phương án tổ chức thi công  biển quảng cáo, biển thông tin cổ động, tuyên truyền chính trị; chấp thuận xây  dựng, lắp đặt công trình hạ tầng, công trình hạ tầng kỹ thuật sử dụng chung  trong phạm vi bảo vệ kết cấu hạ tầng đường bộ; chấp thuận gia cường công trình đường bộ khi cần thiết để cho phép xe quá khổ giới hạn, xe quá tải trọng, xe bánh xích lưu hành trên đường bộ</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1.000314.H48</w:t>
            </w:r>
          </w:p>
        </w:tc>
        <w:tc>
          <w:tcPr>
            <w:tcW w:w="7791" w:type="dxa"/>
            <w:shd w:val="clear" w:color="auto" w:fill="auto"/>
            <w:vAlign w:val="center"/>
          </w:tcPr>
          <w:p w:rsidR="00DF44B7" w:rsidRPr="00DB6405" w:rsidRDefault="00DF44B7" w:rsidP="00D306F5">
            <w:pPr>
              <w:spacing w:before="60" w:after="60"/>
              <w:jc w:val="both"/>
            </w:pPr>
            <w:r w:rsidRPr="00DB6405">
              <w:t>Chấp thuận vị trí đấu nối tạm vào đường bộ đang khai thác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1.001046.H48</w:t>
            </w:r>
          </w:p>
        </w:tc>
        <w:tc>
          <w:tcPr>
            <w:tcW w:w="7791" w:type="dxa"/>
            <w:shd w:val="clear" w:color="auto" w:fill="auto"/>
            <w:vAlign w:val="center"/>
          </w:tcPr>
          <w:p w:rsidR="00DF44B7" w:rsidRPr="00DB6405" w:rsidRDefault="00DF44B7" w:rsidP="00D306F5">
            <w:pPr>
              <w:spacing w:before="60" w:after="60"/>
              <w:jc w:val="both"/>
            </w:pPr>
            <w:r w:rsidRPr="00DB6405">
              <w:t>Chấp thuận thiết kế nút giao đấu nối vào đường quốc lộ đang khai thác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1.001061.H48</w:t>
            </w:r>
          </w:p>
        </w:tc>
        <w:tc>
          <w:tcPr>
            <w:tcW w:w="7791" w:type="dxa"/>
            <w:shd w:val="clear" w:color="auto" w:fill="auto"/>
            <w:vAlign w:val="center"/>
          </w:tcPr>
          <w:p w:rsidR="00DF44B7" w:rsidRPr="00DB6405" w:rsidRDefault="00DF44B7" w:rsidP="00D306F5">
            <w:pPr>
              <w:spacing w:before="60" w:after="60"/>
              <w:jc w:val="both"/>
            </w:pPr>
            <w:r w:rsidRPr="00DB6405">
              <w:t>Cấp phép thi công nút giao đấu nối vào đường quốc lộ đang khai thác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1.013061.H48</w:t>
            </w:r>
          </w:p>
        </w:tc>
        <w:tc>
          <w:tcPr>
            <w:tcW w:w="7791" w:type="dxa"/>
            <w:shd w:val="clear" w:color="auto" w:fill="auto"/>
            <w:vAlign w:val="center"/>
          </w:tcPr>
          <w:p w:rsidR="00DF44B7" w:rsidRPr="00DB6405" w:rsidRDefault="00DF44B7" w:rsidP="00D306F5">
            <w:pPr>
              <w:spacing w:before="60" w:after="60"/>
              <w:jc w:val="both"/>
            </w:pPr>
            <w:r w:rsidRPr="00DB6405">
              <w:t>Cấp giấy phép thi công công trình trên đường bộ đang khai thác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1.013694</w:t>
            </w:r>
          </w:p>
        </w:tc>
        <w:tc>
          <w:tcPr>
            <w:tcW w:w="7791" w:type="dxa"/>
            <w:shd w:val="clear" w:color="auto" w:fill="auto"/>
            <w:vAlign w:val="center"/>
          </w:tcPr>
          <w:p w:rsidR="00DF44B7" w:rsidRPr="00DB6405" w:rsidRDefault="00DF44B7" w:rsidP="00D306F5">
            <w:pPr>
              <w:spacing w:before="60" w:after="60"/>
              <w:jc w:val="both"/>
            </w:pPr>
            <w:r w:rsidRPr="00DB6405">
              <w:t>Chấp thuận thiết kế nút giao đấu nối đường nhánh vào đường chính đang khai thác</w:t>
            </w:r>
          </w:p>
        </w:tc>
        <w:tc>
          <w:tcPr>
            <w:tcW w:w="2127" w:type="dxa"/>
            <w:shd w:val="clear" w:color="auto" w:fill="auto"/>
            <w:vAlign w:val="center"/>
          </w:tcPr>
          <w:p w:rsidR="00DF44B7" w:rsidRPr="00DB6405" w:rsidRDefault="00DF44B7" w:rsidP="00D306F5">
            <w:pPr>
              <w:spacing w:before="60" w:after="60"/>
              <w:jc w:val="both"/>
            </w:pPr>
            <w:r w:rsidRPr="00DB6405">
              <w:t>Cấp tỉnh; cấp xã</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1.013695</w:t>
            </w:r>
          </w:p>
        </w:tc>
        <w:tc>
          <w:tcPr>
            <w:tcW w:w="7791" w:type="dxa"/>
            <w:shd w:val="clear" w:color="auto" w:fill="auto"/>
            <w:vAlign w:val="center"/>
          </w:tcPr>
          <w:p w:rsidR="00DF44B7" w:rsidRPr="00DB6405" w:rsidRDefault="00DF44B7" w:rsidP="00D306F5">
            <w:pPr>
              <w:spacing w:before="60" w:after="60"/>
              <w:jc w:val="both"/>
            </w:pPr>
            <w:r w:rsidRPr="00DB6405">
              <w:t>Cấp phép thi công nút giao đấu nối đường nhánh vào đường chính đang khai thác</w:t>
            </w:r>
          </w:p>
        </w:tc>
        <w:tc>
          <w:tcPr>
            <w:tcW w:w="2127" w:type="dxa"/>
            <w:shd w:val="clear" w:color="auto" w:fill="auto"/>
            <w:vAlign w:val="center"/>
          </w:tcPr>
          <w:p w:rsidR="00DF44B7" w:rsidRPr="00DB6405" w:rsidRDefault="00DF44B7" w:rsidP="00D306F5">
            <w:pPr>
              <w:spacing w:before="60" w:after="60"/>
              <w:jc w:val="both"/>
            </w:pPr>
            <w:r w:rsidRPr="00DB6405">
              <w:t>Cấp tỉnh; cấp xã</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1.000672.000.00.00.H48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Công bố lại bến xe khách</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1.000660.000.00.00.H48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Công bố đưa bến xe khách vào khai thác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1.001765.000.00.00.H48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chứng nhận giáo viên dạy thực hành lái xe</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1.004993.000.00.00.H48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chứng nhận giáo viên dạy thực hành lái xe</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1.001777.000.00.00.H48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phép đào tạo lái xe, cấp Giấy phép xe tập lái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1.005210.000.00.00.H48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phép đào tạo lái xe ô tô khi bị mất, bị hỏng, có sự thay đổi về tên của cơ sở đào tạo</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1.001751.000.00.00.H48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bổ sung xe tập lái, cấp lại Giấy phép xe tập lái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1.001623.000.00.00.H48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phép đào tạo lái xe ô tô khi điều chỉnh hạng xe đào tạo, lưu lượng đào tạo và thay đổi địa điểm đào tạo</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1.013274.H48</w:t>
            </w:r>
          </w:p>
        </w:tc>
        <w:tc>
          <w:tcPr>
            <w:tcW w:w="7791" w:type="dxa"/>
            <w:shd w:val="clear" w:color="auto" w:fill="auto"/>
            <w:vAlign w:val="center"/>
          </w:tcPr>
          <w:p w:rsidR="00DF44B7" w:rsidRPr="00DB6405" w:rsidRDefault="00DF44B7" w:rsidP="00D306F5">
            <w:pPr>
              <w:spacing w:before="60" w:after="60"/>
              <w:jc w:val="both"/>
            </w:pPr>
            <w:r w:rsidRPr="00DB6405">
              <w:t>Cấp phép sử dụng tạm thời lòng đường, vỉa hè vào mục đích khác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1.013277.H48</w:t>
            </w:r>
          </w:p>
        </w:tc>
        <w:tc>
          <w:tcPr>
            <w:tcW w:w="7791" w:type="dxa"/>
            <w:shd w:val="clear" w:color="auto" w:fill="auto"/>
            <w:vAlign w:val="center"/>
          </w:tcPr>
          <w:p w:rsidR="00DF44B7" w:rsidRPr="00DB6405" w:rsidRDefault="00DF44B7" w:rsidP="00D306F5">
            <w:pPr>
              <w:spacing w:before="60" w:after="60"/>
              <w:jc w:val="both"/>
            </w:pPr>
            <w:r w:rsidRPr="00DB6405">
              <w:t xml:space="preserve">Chấp thuận đấu nối đối với trường hợp kết nối với đường bộ không </w:t>
            </w:r>
            <w:r w:rsidRPr="00DB6405">
              <w:lastRenderedPageBreak/>
              <w:t>có  trong các quy hoạch</w:t>
            </w:r>
          </w:p>
        </w:tc>
        <w:tc>
          <w:tcPr>
            <w:tcW w:w="2127" w:type="dxa"/>
            <w:shd w:val="clear" w:color="auto" w:fill="auto"/>
            <w:vAlign w:val="center"/>
          </w:tcPr>
          <w:p w:rsidR="00DF44B7" w:rsidRPr="00DB6405" w:rsidRDefault="00DF44B7" w:rsidP="00D306F5">
            <w:pPr>
              <w:spacing w:before="60" w:after="60"/>
              <w:jc w:val="both"/>
            </w:pPr>
            <w:r w:rsidRPr="00DB6405">
              <w:lastRenderedPageBreak/>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1.000028.000.00.00.H48</w:t>
            </w:r>
          </w:p>
        </w:tc>
        <w:tc>
          <w:tcPr>
            <w:tcW w:w="7791" w:type="dxa"/>
            <w:shd w:val="clear" w:color="auto" w:fill="auto"/>
            <w:vAlign w:val="center"/>
          </w:tcPr>
          <w:p w:rsidR="00DF44B7" w:rsidRPr="00DB6405" w:rsidRDefault="00DF44B7" w:rsidP="00D306F5">
            <w:pPr>
              <w:spacing w:before="60" w:after="60"/>
              <w:jc w:val="both"/>
            </w:pPr>
            <w:r w:rsidRPr="00DB6405">
              <w:t>Cấp Giấy phép lưu hành xe quá tải trọng, xe quá khổ giới hạn, xe bánh xích, xe vận chuyển hàng siêu trường, siêu trọng trên đường bộ</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1.011673</w:t>
            </w:r>
          </w:p>
        </w:tc>
        <w:tc>
          <w:tcPr>
            <w:tcW w:w="7791" w:type="dxa"/>
            <w:shd w:val="clear" w:color="auto" w:fill="auto"/>
            <w:vAlign w:val="center"/>
          </w:tcPr>
          <w:p w:rsidR="00DF44B7" w:rsidRPr="00DB6405" w:rsidRDefault="00DF44B7" w:rsidP="00D306F5">
            <w:pPr>
              <w:spacing w:before="60" w:after="60"/>
              <w:jc w:val="both"/>
            </w:pPr>
            <w:r w:rsidRPr="00DB6405">
              <w:t>Chấp thuận xây dựng cùng thời điểm với cấp giấy phép thi công xây dựng công trình thiết yếu trong phạm vi bảo vệ kết cấu hạ tầng giao thông đường bộ đối với các tuyến đường bộ địa phương</w:t>
            </w:r>
          </w:p>
        </w:tc>
        <w:tc>
          <w:tcPr>
            <w:tcW w:w="2127" w:type="dxa"/>
            <w:shd w:val="clear" w:color="auto" w:fill="auto"/>
            <w:vAlign w:val="center"/>
          </w:tcPr>
          <w:p w:rsidR="00DF44B7" w:rsidRPr="00DB6405" w:rsidRDefault="00DF44B7" w:rsidP="00D306F5">
            <w:pPr>
              <w:spacing w:before="60" w:after="60"/>
              <w:jc w:val="both"/>
            </w:pPr>
            <w:r w:rsidRPr="00DB6405">
              <w:t>Cấp tỉnh; cấp xã</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1.013696</w:t>
            </w:r>
          </w:p>
        </w:tc>
        <w:tc>
          <w:tcPr>
            <w:tcW w:w="7791" w:type="dxa"/>
            <w:shd w:val="clear" w:color="auto" w:fill="auto"/>
            <w:vAlign w:val="center"/>
          </w:tcPr>
          <w:p w:rsidR="00DF44B7" w:rsidRPr="00DB6405" w:rsidRDefault="00DF44B7" w:rsidP="00D306F5">
            <w:pPr>
              <w:spacing w:before="60" w:after="60"/>
              <w:jc w:val="both"/>
            </w:pPr>
            <w:r w:rsidRPr="00DB6405">
              <w:t>Cấp phép thi công công trình thiết yếu trên các tuyến đường bộ địa phương xây dựng mới hoặc nâng cấp, cải tạo</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1.013697</w:t>
            </w:r>
          </w:p>
        </w:tc>
        <w:tc>
          <w:tcPr>
            <w:tcW w:w="7791" w:type="dxa"/>
            <w:shd w:val="clear" w:color="auto" w:fill="auto"/>
            <w:vAlign w:val="center"/>
          </w:tcPr>
          <w:p w:rsidR="00DF44B7" w:rsidRPr="00DB6405" w:rsidRDefault="00DF44B7" w:rsidP="00D306F5">
            <w:pPr>
              <w:spacing w:before="60" w:after="60"/>
              <w:jc w:val="both"/>
            </w:pPr>
            <w:r w:rsidRPr="00DB6405">
              <w:t>Cấp phép thi công xây dựng biển quảng cáo tạm thời trong phạm vi hành lang an toàn đường bộ đối với các tuyến đường bộ địa phương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rPr>
                <w:lang w:val="nl-NL"/>
              </w:rPr>
            </w:pPr>
            <w:r w:rsidRPr="00DB6405">
              <w:rPr>
                <w:b/>
              </w:rPr>
              <w:t>Lĩnh vực hàng hải và đường thủy nội địa</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1.004261.000.00.00.H48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phép vận tải qua biên giới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1.004259.000.00.00.H48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phép vận tải qua biên giới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1.009444.000.00.00.H48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Gia hạn hoạt động cảng, bến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 cấp xã</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1.009458.000.00.00.H48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Công bố hoạt động cảng thủy nội địa trường hợp không còn nhu cầu tiếp nhận phương tiện thủy nước ngoài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1.009450.000.00.00.H48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Công bố đóng khu neo đậu</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1.009446.H48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Công bố chuyển bến thủy nội địa thành cảng thủy nội địa trong trường hợp bến thủy nội địa có quy mô, kỹ thuật phù hợp với cấp kỹ thuật cảng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1.009447.000.00.00.H48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Công bố đóng cảng, bến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 cấp xã</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1.009443.000.00.00.H48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Đổi tên cảng, bến thủy nội địa, khu neo đậu</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1.004242.000.00.00.H48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Công bố lại hoạt động cảng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hyperlink r:id="rId6" w:history="1">
              <w:r w:rsidRPr="00DB6405">
                <w:t>1.013466</w:t>
              </w:r>
            </w:hyperlink>
            <w:r w:rsidRPr="00DB6405">
              <w:t>.H48</w:t>
            </w:r>
          </w:p>
        </w:tc>
        <w:tc>
          <w:tcPr>
            <w:tcW w:w="7791" w:type="dxa"/>
            <w:shd w:val="clear" w:color="auto" w:fill="auto"/>
            <w:vAlign w:val="center"/>
          </w:tcPr>
          <w:p w:rsidR="00DF44B7" w:rsidRPr="00DB6405" w:rsidRDefault="00DF44B7" w:rsidP="00D306F5">
            <w:pPr>
              <w:spacing w:before="60" w:after="60"/>
              <w:jc w:val="both"/>
            </w:pPr>
            <w:r w:rsidRPr="00DB6405">
              <w:t>Chấp thuận vùng hoạt động tàu lặn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hyperlink r:id="rId7" w:history="1">
              <w:r w:rsidRPr="00DB6405">
                <w:t>1.013467</w:t>
              </w:r>
            </w:hyperlink>
            <w:r w:rsidRPr="00DB6405">
              <w:t>.H48</w:t>
            </w:r>
          </w:p>
        </w:tc>
        <w:tc>
          <w:tcPr>
            <w:tcW w:w="7791" w:type="dxa"/>
            <w:shd w:val="clear" w:color="auto" w:fill="auto"/>
            <w:vAlign w:val="center"/>
          </w:tcPr>
          <w:p w:rsidR="00DF44B7" w:rsidRPr="00DB6405" w:rsidRDefault="00DF44B7" w:rsidP="00D306F5">
            <w:pPr>
              <w:spacing w:before="60" w:after="60"/>
              <w:jc w:val="both"/>
            </w:pPr>
            <w:r w:rsidRPr="00DB6405">
              <w:t>Phê duyệt Phương án đưa tàu lặn vào hoạt động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1.013468.H48</w:t>
            </w:r>
          </w:p>
        </w:tc>
        <w:tc>
          <w:tcPr>
            <w:tcW w:w="7791" w:type="dxa"/>
            <w:shd w:val="clear" w:color="auto" w:fill="auto"/>
            <w:vAlign w:val="center"/>
          </w:tcPr>
          <w:p w:rsidR="00DF44B7" w:rsidRPr="00DB6405" w:rsidRDefault="00DF44B7" w:rsidP="00D306F5">
            <w:pPr>
              <w:spacing w:before="60" w:after="60"/>
              <w:jc w:val="both"/>
            </w:pPr>
            <w:r w:rsidRPr="00DB6405">
              <w:t>Chấm dứt hoạt động tàu lặn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2.001998.000.00.00.H48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chứng nhận cơ sở đủ điều kiện kinh doanh dịch vụ đào tạo thuyền viên, người lái phương tiện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2.002001.000.00.00.H48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chứng nhận cơ sở đủ Điều kiện kinh doanh dịch vụ đào tạo thuyền viên, người lái phương tiện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1.004047.000.00.00.H48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lần đầu đối với phương tiện đang khai thác trên đường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1.004036.000.00.00.H48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lại phương tiện trong trường hợp chuyển từ cơ quan đăng ký khác sang cơ quan đăng ký phương tiện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1.004088.000.00.00.H48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phương tiện lần đầu đối với phương tiện chưa khai thác trên đường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2.001711.000.00.00.H48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lại phương tiện trong trường hợp phương tiện thay đổi tên, tính năng kỹ thuật</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1.004002.000.00.00.H48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lại phương tiện trong trường hợp chuyển quyền sở hữu phương tiện nhưng không thay đổi cơ quan đăng ký phương tiện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1.003970.000.00.00.H48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lại phương tiện trong trường hợp chuyển quyền sở hữu phương tiện đồng thời thay đổi cơ quan đăng ký phương tiện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1.003930.000.00.00.H48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chứng nhận đăng ký phương tiện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2.001659.000.00.00.H48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Xóa đăng ký phương tiện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1.006391.000.00.00.H48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lại phương tiện trong trường hợp chủ phương tiện thay đổi trụ sở hoặc nơi đăng ký hộ khẩu thường trú của chủ phương tiện sang đơn vị hành chính cấp tỉnh khác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1.003640.H48</w:t>
            </w:r>
          </w:p>
        </w:tc>
        <w:tc>
          <w:tcPr>
            <w:tcW w:w="7791" w:type="dxa"/>
            <w:shd w:val="clear" w:color="auto" w:fill="auto"/>
            <w:vAlign w:val="center"/>
          </w:tcPr>
          <w:p w:rsidR="00DF44B7" w:rsidRPr="00DB6405" w:rsidRDefault="00DF44B7" w:rsidP="00D306F5">
            <w:pPr>
              <w:spacing w:before="60" w:after="60"/>
              <w:jc w:val="both"/>
            </w:pPr>
            <w:r w:rsidRPr="00DB6405">
              <w:t>Gia hạn thời gian lưu lại lãnh thổ Việt Nam cho phương tiện vận tải thủy của Campuchia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2.000795.H48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vận tải hành khách cố định trên tuyến vận tải thủy từ bờ ra đảo</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1.009448.000.00.00.H48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Thiết lập khu neo đậu</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1.009449.000.00.00.H48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Công bố hoạt động khu neo đậu</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1.009456.000.00.00.H48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Công bố hoạt động cảng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1.003135.H48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cấp lại, chuyển đổi giấy chứng nhận khả năng chuyên môn, chứng chỉ chuyên môn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1.001223.H48</w:t>
            </w:r>
          </w:p>
        </w:tc>
        <w:tc>
          <w:tcPr>
            <w:tcW w:w="7791" w:type="dxa"/>
            <w:shd w:val="clear" w:color="auto" w:fill="auto"/>
            <w:vAlign w:val="center"/>
          </w:tcPr>
          <w:p w:rsidR="00DF44B7" w:rsidRPr="00DB6405" w:rsidRDefault="00DF44B7" w:rsidP="00D306F5">
            <w:pPr>
              <w:spacing w:before="60" w:after="60"/>
              <w:jc w:val="both"/>
            </w:pPr>
            <w:r w:rsidRPr="00DB6405">
              <w:t>Cấp Giấy phép nhập khẩu pháo hiệu hàng hải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rPr>
                <w:shd w:val="clear" w:color="auto" w:fill="FFFFFF"/>
              </w:rPr>
              <w:t>1.000940.H48</w:t>
            </w:r>
          </w:p>
        </w:tc>
        <w:tc>
          <w:tcPr>
            <w:tcW w:w="7791" w:type="dxa"/>
            <w:shd w:val="clear" w:color="auto" w:fill="auto"/>
            <w:vAlign w:val="center"/>
          </w:tcPr>
          <w:p w:rsidR="00DF44B7" w:rsidRPr="00DB6405" w:rsidRDefault="00DF44B7" w:rsidP="00D306F5">
            <w:pPr>
              <w:spacing w:before="60" w:after="60"/>
              <w:jc w:val="both"/>
            </w:pPr>
            <w:r w:rsidRPr="00DB6405">
              <w:t>Quyết định đưa cơ sở phá dỡ tàu biển vào hoạt động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1.007949.H48</w:t>
            </w:r>
          </w:p>
        </w:tc>
        <w:tc>
          <w:tcPr>
            <w:tcW w:w="7791" w:type="dxa"/>
            <w:shd w:val="clear" w:color="auto" w:fill="auto"/>
            <w:vAlign w:val="center"/>
          </w:tcPr>
          <w:p w:rsidR="00DF44B7" w:rsidRPr="00DB6405" w:rsidRDefault="00DF44B7" w:rsidP="00D306F5">
            <w:pPr>
              <w:spacing w:before="60" w:after="60"/>
              <w:jc w:val="both"/>
            </w:pPr>
            <w:r w:rsidRPr="00DB6405">
              <w:t>Quyết định lại đưa cơ sở phá dỡ tàu biển vào hoạt động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rPr>
                <w:shd w:val="clear" w:color="auto" w:fill="FFFFFF"/>
              </w:rPr>
              <w:t>1.000892.H48</w:t>
            </w:r>
          </w:p>
        </w:tc>
        <w:tc>
          <w:tcPr>
            <w:tcW w:w="7791" w:type="dxa"/>
            <w:shd w:val="clear" w:color="auto" w:fill="auto"/>
            <w:vAlign w:val="center"/>
          </w:tcPr>
          <w:p w:rsidR="00DF44B7" w:rsidRPr="00DB6405" w:rsidRDefault="00DF44B7" w:rsidP="00D306F5">
            <w:pPr>
              <w:spacing w:before="60" w:after="60"/>
              <w:jc w:val="both"/>
            </w:pPr>
            <w:r w:rsidRPr="00DB6405">
              <w:t>Phê duyệt phương án phá dỡ tàu biển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2.000378.H48</w:t>
            </w:r>
          </w:p>
        </w:tc>
        <w:tc>
          <w:tcPr>
            <w:tcW w:w="7791" w:type="dxa"/>
            <w:shd w:val="clear" w:color="auto" w:fill="auto"/>
            <w:vAlign w:val="center"/>
          </w:tcPr>
          <w:p w:rsidR="00DF44B7" w:rsidRPr="00DB6405" w:rsidRDefault="00DF44B7" w:rsidP="00D306F5">
            <w:pPr>
              <w:spacing w:before="60" w:after="60"/>
              <w:jc w:val="both"/>
            </w:pPr>
            <w:r w:rsidRPr="00DB6405">
              <w:t>Cấp Giấy phép nhập khẩu tàu biển đã qua sử dụng để phá dỡ</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hyperlink r:id="rId8" w:history="1">
              <w:r w:rsidRPr="00DB6405">
                <w:rPr>
                  <w:rStyle w:val="link"/>
                </w:rPr>
                <w:t>1.001870</w:t>
              </w:r>
            </w:hyperlink>
            <w:r w:rsidRPr="00DB6405">
              <w:rPr>
                <w:rStyle w:val="link"/>
              </w:rPr>
              <w:t>.H48</w:t>
            </w:r>
          </w:p>
        </w:tc>
        <w:tc>
          <w:tcPr>
            <w:tcW w:w="7791" w:type="dxa"/>
            <w:shd w:val="clear" w:color="auto" w:fill="auto"/>
            <w:vAlign w:val="center"/>
          </w:tcPr>
          <w:p w:rsidR="00DF44B7" w:rsidRPr="00DB6405" w:rsidRDefault="00DF44B7" w:rsidP="00D306F5">
            <w:pPr>
              <w:spacing w:before="60" w:after="60"/>
              <w:jc w:val="both"/>
            </w:pPr>
            <w:r w:rsidRPr="00DB6405">
              <w:t>Đổi tên cảng cạn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1.009451.000.00.00.H48</w:t>
            </w:r>
          </w:p>
        </w:tc>
        <w:tc>
          <w:tcPr>
            <w:tcW w:w="7791" w:type="dxa"/>
            <w:shd w:val="clear" w:color="auto" w:fill="auto"/>
            <w:vAlign w:val="center"/>
          </w:tcPr>
          <w:p w:rsidR="00DF44B7" w:rsidRPr="00DB6405" w:rsidRDefault="00DF44B7" w:rsidP="00D306F5">
            <w:pPr>
              <w:spacing w:before="60" w:after="60"/>
              <w:jc w:val="both"/>
            </w:pPr>
            <w:r w:rsidRPr="00DB6405">
              <w:t>Thỏa thuận thiết lập báo hiệu đường thủy nội địa đối với công trình xây dựng, hoạt động trên đường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1.009463.000.00.00.H48</w:t>
            </w:r>
          </w:p>
        </w:tc>
        <w:tc>
          <w:tcPr>
            <w:tcW w:w="7791" w:type="dxa"/>
            <w:shd w:val="clear" w:color="auto" w:fill="auto"/>
            <w:vAlign w:val="center"/>
          </w:tcPr>
          <w:p w:rsidR="00DF44B7" w:rsidRPr="00DB6405" w:rsidRDefault="00DF44B7" w:rsidP="00D306F5">
            <w:pPr>
              <w:spacing w:before="60" w:after="60"/>
              <w:jc w:val="both"/>
            </w:pPr>
            <w:r w:rsidRPr="00DB6405">
              <w:t xml:space="preserve">Thỏa thuận về nội dung liên quan đến đường thủy nội địa đối với </w:t>
            </w:r>
            <w:r w:rsidRPr="00DB6405">
              <w:lastRenderedPageBreak/>
              <w:t>công trình không thuộc kết cấu hạ tầng đường thủy nội địa và các hoạt động trên đường thủy nội địa</w:t>
            </w:r>
          </w:p>
        </w:tc>
        <w:tc>
          <w:tcPr>
            <w:tcW w:w="2127" w:type="dxa"/>
            <w:shd w:val="clear" w:color="auto" w:fill="auto"/>
            <w:vAlign w:val="center"/>
          </w:tcPr>
          <w:p w:rsidR="00DF44B7" w:rsidRPr="00DB6405" w:rsidRDefault="00DF44B7" w:rsidP="00D306F5">
            <w:pPr>
              <w:spacing w:before="60" w:after="60"/>
              <w:jc w:val="both"/>
            </w:pPr>
            <w:r w:rsidRPr="00DB6405">
              <w:lastRenderedPageBreak/>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1.009462.000.00.00.H48</w:t>
            </w:r>
          </w:p>
        </w:tc>
        <w:tc>
          <w:tcPr>
            <w:tcW w:w="7791" w:type="dxa"/>
            <w:shd w:val="clear" w:color="auto" w:fill="auto"/>
            <w:vAlign w:val="center"/>
          </w:tcPr>
          <w:p w:rsidR="00DF44B7" w:rsidRPr="00DB6405" w:rsidRDefault="00DF44B7" w:rsidP="00D306F5">
            <w:pPr>
              <w:spacing w:before="60" w:after="60"/>
              <w:jc w:val="both"/>
            </w:pPr>
            <w:r w:rsidRPr="00DB6405">
              <w:t>Thỏa thuận thông số kỹ thuật xây dựng cảng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1.009442.000.00.00.H48</w:t>
            </w:r>
          </w:p>
        </w:tc>
        <w:tc>
          <w:tcPr>
            <w:tcW w:w="7791" w:type="dxa"/>
            <w:shd w:val="clear" w:color="auto" w:fill="auto"/>
            <w:vAlign w:val="center"/>
          </w:tcPr>
          <w:p w:rsidR="00DF44B7" w:rsidRPr="00DB6405" w:rsidRDefault="00DF44B7" w:rsidP="00D306F5">
            <w:pPr>
              <w:spacing w:before="60" w:after="60"/>
              <w:jc w:val="both"/>
            </w:pPr>
            <w:r w:rsidRPr="00DB6405">
              <w:t>Thỏa thuận thông số kỹ thuật xây dựng luồng đường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2.001219.000.00.00.H48</w:t>
            </w:r>
          </w:p>
        </w:tc>
        <w:tc>
          <w:tcPr>
            <w:tcW w:w="7791" w:type="dxa"/>
            <w:shd w:val="clear" w:color="auto" w:fill="auto"/>
            <w:vAlign w:val="center"/>
          </w:tcPr>
          <w:p w:rsidR="00DF44B7" w:rsidRPr="00DB6405" w:rsidRDefault="00DF44B7" w:rsidP="00D306F5">
            <w:pPr>
              <w:spacing w:before="60" w:after="60"/>
              <w:jc w:val="both"/>
            </w:pPr>
            <w:r w:rsidRPr="00DB6405">
              <w:t>Chấp thuận hoạt động vui chơi, giải trí dưới nước tại vùng nước trên tuyến đường thủy nội địa, vùng nước cảng biển hoặc khu vực hàng hải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1.009445.000.00.00.H48</w:t>
            </w:r>
          </w:p>
        </w:tc>
        <w:tc>
          <w:tcPr>
            <w:tcW w:w="7791" w:type="dxa"/>
            <w:shd w:val="clear" w:color="auto" w:fill="auto"/>
            <w:vAlign w:val="center"/>
          </w:tcPr>
          <w:p w:rsidR="00DF44B7" w:rsidRPr="00DB6405" w:rsidRDefault="00DF44B7" w:rsidP="00D306F5">
            <w:pPr>
              <w:spacing w:before="60" w:after="60"/>
              <w:jc w:val="both"/>
            </w:pPr>
            <w:r w:rsidRPr="00DB6405">
              <w:t>Thỏa thuận nâng cấp bến thủy nội địa thành cảng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1.009464.000.00.00.H48</w:t>
            </w:r>
          </w:p>
        </w:tc>
        <w:tc>
          <w:tcPr>
            <w:tcW w:w="7791" w:type="dxa"/>
            <w:shd w:val="clear" w:color="auto" w:fill="auto"/>
            <w:vAlign w:val="center"/>
          </w:tcPr>
          <w:p w:rsidR="00DF44B7" w:rsidRPr="00DB6405" w:rsidRDefault="00DF44B7" w:rsidP="00D306F5">
            <w:pPr>
              <w:spacing w:before="60" w:after="60"/>
              <w:jc w:val="both"/>
            </w:pPr>
            <w:r w:rsidRPr="00DB6405">
              <w:t>Công bố hạn chế giao thông đường thủy nội địa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1.005040.000.00.00.H48</w:t>
            </w:r>
          </w:p>
        </w:tc>
        <w:tc>
          <w:tcPr>
            <w:tcW w:w="7791" w:type="dxa"/>
            <w:shd w:val="clear" w:color="auto" w:fill="auto"/>
            <w:vAlign w:val="center"/>
          </w:tcPr>
          <w:p w:rsidR="00DF44B7" w:rsidRPr="00DB6405" w:rsidRDefault="00DF44B7" w:rsidP="00D306F5">
            <w:pPr>
              <w:spacing w:before="60" w:after="60"/>
              <w:jc w:val="both"/>
            </w:pPr>
            <w:r w:rsidRPr="00DB6405">
              <w:t>Xác nhận trình báo đường thủy nội địa hoặc trình báo đường thủy nội địa bổ sung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1.009465.H48</w:t>
            </w:r>
          </w:p>
        </w:tc>
        <w:tc>
          <w:tcPr>
            <w:tcW w:w="7791" w:type="dxa"/>
            <w:shd w:val="clear" w:color="auto" w:fill="auto"/>
            <w:vAlign w:val="center"/>
          </w:tcPr>
          <w:p w:rsidR="00DF44B7" w:rsidRPr="00DB6405" w:rsidRDefault="00DF44B7" w:rsidP="00D306F5">
            <w:pPr>
              <w:spacing w:before="60" w:after="60"/>
              <w:jc w:val="both"/>
            </w:pPr>
            <w:r w:rsidRPr="00DB6405">
              <w:t>Chấp thuận phương án bảo đảm an toàn giao thông</w:t>
            </w:r>
          </w:p>
        </w:tc>
        <w:tc>
          <w:tcPr>
            <w:tcW w:w="2127" w:type="dxa"/>
            <w:shd w:val="clear" w:color="auto" w:fill="auto"/>
            <w:vAlign w:val="center"/>
          </w:tcPr>
          <w:p w:rsidR="00DF44B7" w:rsidRPr="00DB6405" w:rsidRDefault="00DF44B7" w:rsidP="00D306F5">
            <w:pPr>
              <w:spacing w:before="60" w:after="60"/>
              <w:jc w:val="both"/>
            </w:pPr>
            <w:r w:rsidRPr="00DB6405">
              <w:t>Cấp tỉnh; cấp xã</w:t>
            </w: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rPr>
                <w:lang w:val="nl-NL"/>
              </w:rPr>
            </w:pPr>
            <w:r w:rsidRPr="00DB6405">
              <w:rPr>
                <w:b/>
              </w:rPr>
              <w:t>Lĩnh vực đường sắt</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1.004883.H48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Chấp thuận chủ trương xây dựng đường ngang (đối với đường sắt có tốc độ thiết kế nhỏ hơn 100km/giờ giao nhau với đường bộ; đường sắt giao nhau với đường bộ từ cấp IV trở xuống)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1.005126.H48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phép xây dựng, cải tạo, nâng cấp đường ngang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1.000294.H48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Bãi bỏ đường ngang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1.005058.H48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Gia hạn giấy phép xây dựng, cải tạo, nâng cấp đường ngang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1.004691.H48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Chấp thuận chủ trương kết nối các tuyến đường sắt</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1.004685.H48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phép kết nối các tuyến đường sắt</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1.004681.H48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Gia hạn giấy phép kết nối, bãi bỏ kết nối các tuyến đường sắt</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chứng nhận đăng ký phương tiện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1.004844.H48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chứng nhận đăng ký phương tiện giao thông đường sắt</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1.005075.H48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Xóa, thu hồi Giấy chứng nhận đăng ký phương tiện giao thông đường sắt</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rPr>
                <w:b/>
              </w:rPr>
            </w:pPr>
            <w:r w:rsidRPr="00DB6405">
              <w:rPr>
                <w:b/>
              </w:rPr>
              <w:t>Lĩnh vực đăng kiểm</w:t>
            </w:r>
          </w:p>
        </w:tc>
        <w:tc>
          <w:tcPr>
            <w:tcW w:w="2127" w:type="dxa"/>
            <w:shd w:val="clear" w:color="auto" w:fill="auto"/>
            <w:vAlign w:val="center"/>
          </w:tcPr>
          <w:p w:rsidR="00DF44B7" w:rsidRPr="00DB6405" w:rsidRDefault="00DF44B7" w:rsidP="00D306F5">
            <w:pPr>
              <w:spacing w:before="60" w:after="60"/>
              <w:jc w:val="both"/>
              <w:rPr>
                <w:b/>
              </w:rPr>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1.001322.000.00.00.H48</w:t>
            </w:r>
          </w:p>
        </w:tc>
        <w:tc>
          <w:tcPr>
            <w:tcW w:w="7791" w:type="dxa"/>
            <w:shd w:val="clear" w:color="auto" w:fill="auto"/>
            <w:vAlign w:val="center"/>
          </w:tcPr>
          <w:p w:rsidR="00DF44B7" w:rsidRPr="00DB6405" w:rsidRDefault="00DF44B7" w:rsidP="00D306F5">
            <w:pPr>
              <w:spacing w:before="60" w:after="60"/>
              <w:jc w:val="both"/>
            </w:pPr>
            <w:r w:rsidRPr="00DB6405">
              <w:t>Cấp mới Giấy chứng nhận đủ điều kiện hoạt động kiểm định xe cơ giới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1.001296.000.00.00.H48</w:t>
            </w:r>
          </w:p>
        </w:tc>
        <w:tc>
          <w:tcPr>
            <w:tcW w:w="7791" w:type="dxa"/>
            <w:shd w:val="clear" w:color="auto" w:fill="auto"/>
            <w:vAlign w:val="center"/>
          </w:tcPr>
          <w:p w:rsidR="00DF44B7" w:rsidRPr="00DB6405" w:rsidRDefault="00DF44B7" w:rsidP="00D306F5">
            <w:pPr>
              <w:spacing w:before="60" w:after="60"/>
              <w:jc w:val="both"/>
            </w:pPr>
            <w:r w:rsidRPr="00DB6405">
              <w:t>Cấp lại Giấy chứng nhận đủ điều kiện hoạt động kiểm định xe cơ giới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1.013105.H48</w:t>
            </w:r>
          </w:p>
        </w:tc>
        <w:tc>
          <w:tcPr>
            <w:tcW w:w="7791" w:type="dxa"/>
            <w:shd w:val="clear" w:color="auto" w:fill="auto"/>
            <w:vAlign w:val="center"/>
          </w:tcPr>
          <w:p w:rsidR="00DF44B7" w:rsidRPr="00DB6405" w:rsidRDefault="00DF44B7" w:rsidP="00D306F5">
            <w:pPr>
              <w:spacing w:before="60" w:after="60"/>
              <w:jc w:val="both"/>
            </w:pPr>
            <w:r w:rsidRPr="00DB6405">
              <w:t>Cấp mới Giấy chứng nhận đủ điều kiện hoạt động kiểm định khí thải xe mô tô, xe gắn máy</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1.013110.H48</w:t>
            </w:r>
          </w:p>
        </w:tc>
        <w:tc>
          <w:tcPr>
            <w:tcW w:w="7791" w:type="dxa"/>
            <w:shd w:val="clear" w:color="auto" w:fill="auto"/>
            <w:vAlign w:val="center"/>
          </w:tcPr>
          <w:p w:rsidR="00DF44B7" w:rsidRPr="00DB6405" w:rsidRDefault="00DF44B7" w:rsidP="00D306F5">
            <w:pPr>
              <w:spacing w:before="60" w:after="60"/>
              <w:jc w:val="both"/>
            </w:pPr>
            <w:r w:rsidRPr="00DB6405">
              <w:t>Cấp lại Giấy chứng nhận đủ điều kiện hoạt động kiểm định khí thải xe mô tô, xe gắn máy</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284"/>
              <w:jc w:val="center"/>
            </w:pPr>
          </w:p>
        </w:tc>
        <w:tc>
          <w:tcPr>
            <w:tcW w:w="10914" w:type="dxa"/>
            <w:gridSpan w:val="2"/>
            <w:shd w:val="clear" w:color="auto" w:fill="auto"/>
            <w:vAlign w:val="center"/>
          </w:tcPr>
          <w:p w:rsidR="00DF44B7" w:rsidRPr="00DB6405" w:rsidRDefault="00DF44B7" w:rsidP="00D306F5">
            <w:pPr>
              <w:spacing w:before="60" w:after="60"/>
              <w:jc w:val="both"/>
              <w:rPr>
                <w:b/>
              </w:rPr>
            </w:pPr>
            <w:r w:rsidRPr="00DB6405">
              <w:rPr>
                <w:b/>
              </w:rPr>
              <w:t>Lĩnh vực thuế</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3.000252.H48</w:t>
            </w:r>
          </w:p>
        </w:tc>
        <w:tc>
          <w:tcPr>
            <w:tcW w:w="7791" w:type="dxa"/>
            <w:shd w:val="clear" w:color="auto" w:fill="auto"/>
            <w:vAlign w:val="center"/>
          </w:tcPr>
          <w:p w:rsidR="00DF44B7" w:rsidRPr="00DB6405" w:rsidRDefault="00DF44B7" w:rsidP="00D306F5">
            <w:pPr>
              <w:spacing w:before="60" w:after="60"/>
              <w:jc w:val="both"/>
            </w:pPr>
            <w:r w:rsidRPr="00DB6405">
              <w:t>Xác định xe kinh doanh vận tải thuộc doanh nghiệp tạm dừng lưu hành liên tục từ 30 ngày trở lên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3.000254.H48</w:t>
            </w:r>
          </w:p>
        </w:tc>
        <w:tc>
          <w:tcPr>
            <w:tcW w:w="7791" w:type="dxa"/>
            <w:shd w:val="clear" w:color="auto" w:fill="auto"/>
            <w:vAlign w:val="center"/>
          </w:tcPr>
          <w:p w:rsidR="00DF44B7" w:rsidRPr="00DB6405" w:rsidRDefault="00DF44B7" w:rsidP="00D306F5">
            <w:pPr>
              <w:spacing w:before="60" w:after="60"/>
              <w:jc w:val="both"/>
            </w:pPr>
            <w:r w:rsidRPr="00DB6405">
              <w:t>Đề nghị trả lại phù hiệu, biển hiệu</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3.000255.H48</w:t>
            </w:r>
          </w:p>
        </w:tc>
        <w:tc>
          <w:tcPr>
            <w:tcW w:w="7791" w:type="dxa"/>
            <w:shd w:val="clear" w:color="auto" w:fill="auto"/>
            <w:vAlign w:val="center"/>
          </w:tcPr>
          <w:p w:rsidR="00DF44B7" w:rsidRPr="00DB6405" w:rsidRDefault="00DF44B7" w:rsidP="00D306F5">
            <w:pPr>
              <w:spacing w:before="60" w:after="60"/>
              <w:jc w:val="both"/>
            </w:pPr>
            <w:r w:rsidRPr="00DB6405">
              <w:t>Xác định xe ô tô không tham gia giao thông, không sử dụng đường thuộc hệ thống giao thông đường bộ</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284"/>
              <w:jc w:val="center"/>
            </w:pPr>
          </w:p>
        </w:tc>
        <w:tc>
          <w:tcPr>
            <w:tcW w:w="10914" w:type="dxa"/>
            <w:gridSpan w:val="2"/>
            <w:shd w:val="clear" w:color="auto" w:fill="auto"/>
            <w:vAlign w:val="center"/>
          </w:tcPr>
          <w:p w:rsidR="00DF44B7" w:rsidRPr="00DB6405" w:rsidRDefault="00DF44B7" w:rsidP="00D306F5">
            <w:pPr>
              <w:spacing w:before="60" w:after="60"/>
              <w:jc w:val="both"/>
              <w:rPr>
                <w:b/>
              </w:rPr>
            </w:pPr>
            <w:r w:rsidRPr="00DB6405">
              <w:rPr>
                <w:b/>
              </w:rPr>
              <w:t>Lĩnh vực hoạt động xây dựng</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1.013239.H48</w:t>
            </w:r>
          </w:p>
        </w:tc>
        <w:tc>
          <w:tcPr>
            <w:tcW w:w="7791" w:type="dxa"/>
            <w:shd w:val="clear" w:color="auto" w:fill="auto"/>
            <w:vAlign w:val="center"/>
          </w:tcPr>
          <w:p w:rsidR="00DF44B7" w:rsidRPr="00DB6405" w:rsidRDefault="00DF44B7" w:rsidP="00D306F5">
            <w:pPr>
              <w:spacing w:before="60" w:after="60"/>
              <w:jc w:val="both"/>
            </w:pPr>
            <w:r w:rsidRPr="00DB6405">
              <w:t>Thẩm định Báo cáo nghiên cứu khả thi đầu tư xây dựng/Báo cáo nghiên cứu khả thi đầu tư xây dựng điều chỉnh</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1.013234.H48</w:t>
            </w:r>
          </w:p>
        </w:tc>
        <w:tc>
          <w:tcPr>
            <w:tcW w:w="7791" w:type="dxa"/>
            <w:shd w:val="clear" w:color="auto" w:fill="auto"/>
            <w:vAlign w:val="center"/>
          </w:tcPr>
          <w:p w:rsidR="00DF44B7" w:rsidRPr="00DB6405" w:rsidRDefault="00DF44B7" w:rsidP="00D306F5">
            <w:pPr>
              <w:spacing w:before="60" w:after="60"/>
              <w:jc w:val="both"/>
            </w:pPr>
            <w:r w:rsidRPr="00DB6405">
              <w:t>Thẩm định thiết kế xây dựng triển khai sau thiết kế cơ sở/thiết kế xây dựng triển khai sau thiết kế cơ sở điều chỉnh</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rPr>
                <w:lang w:val="nl-NL"/>
              </w:rPr>
              <w:t>1.013237.H48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lang w:val="nl-NL"/>
              </w:rPr>
              <w:t>Cấp mới chứng chỉ hành nghề hoạt động xây dựng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b/>
              </w:rPr>
            </w:pPr>
            <w:r w:rsidRPr="00DB6405">
              <w:rPr>
                <w:rStyle w:val="Strong"/>
                <w:b w:val="0"/>
                <w:shd w:val="clear" w:color="auto" w:fill="FFFFFF"/>
              </w:rPr>
              <w:t>1.013217.H48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chứng chỉ hành nghề hoạt động xây dựng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1.013219.H48</w:t>
            </w:r>
          </w:p>
        </w:tc>
        <w:tc>
          <w:tcPr>
            <w:tcW w:w="7791" w:type="dxa"/>
            <w:shd w:val="clear" w:color="auto" w:fill="auto"/>
            <w:vAlign w:val="center"/>
          </w:tcPr>
          <w:p w:rsidR="00DF44B7" w:rsidRPr="00DB6405" w:rsidRDefault="00DF44B7" w:rsidP="00D306F5">
            <w:pPr>
              <w:spacing w:before="60" w:after="60"/>
              <w:jc w:val="both"/>
            </w:pPr>
            <w:r w:rsidRPr="00DB6405">
              <w:t>Cấp chuyển đổi chứng chỉ hành nghề hoạt động xây dựng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1.013222.H48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phép hoạt động xây dựng cho nhà thầu nước ngoài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1.013224.H48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điều chỉnh giấy phép hoạt động xây dựng cho nhà thầu nước ngoài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b/>
              </w:rPr>
            </w:pPr>
            <w:r w:rsidRPr="00DB6405">
              <w:rPr>
                <w:rStyle w:val="Strong"/>
                <w:b w:val="0"/>
                <w:shd w:val="clear" w:color="auto" w:fill="FFFFFF"/>
              </w:rPr>
              <w:t>1.013236.H48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lang w:val="nl-NL"/>
              </w:rPr>
              <w:t>Cấp giấy phép xây dựng mới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b/>
              </w:rPr>
            </w:pPr>
            <w:r w:rsidRPr="00DB6405">
              <w:rPr>
                <w:rStyle w:val="Strong"/>
                <w:b w:val="0"/>
                <w:shd w:val="clear" w:color="auto" w:fill="FFFFFF"/>
              </w:rPr>
              <w:t>1.013238.H48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iCs/>
                <w:lang w:val="nl-NL"/>
              </w:rPr>
              <w:t>Cấp giấy phép xây dựng sửa chữa, cải tạo đối với công trình cấp đặc biệt, cấp I, cấp II (công trình Không theo tuyến/Theo tuyến trong đô thị/Tín ngưỡng, tôn giáo/Tượng đài, tranh hoành tráng/ Theo giai đoạn cho công trình không theo tuyến/ Theo giai đoạn cho công trình theo tuyến trong đô thị/Dự án)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bCs/>
                <w:shd w:val="clear" w:color="auto" w:fill="FFFFFF"/>
              </w:rPr>
            </w:pPr>
            <w:r w:rsidRPr="00DB6405">
              <w:t>1.013230.H48</w:t>
            </w:r>
          </w:p>
        </w:tc>
        <w:tc>
          <w:tcPr>
            <w:tcW w:w="7791" w:type="dxa"/>
            <w:shd w:val="clear" w:color="auto" w:fill="auto"/>
            <w:vAlign w:val="center"/>
          </w:tcPr>
          <w:p w:rsidR="00DF44B7" w:rsidRPr="00DB6405" w:rsidRDefault="00DF44B7" w:rsidP="00D306F5">
            <w:pPr>
              <w:spacing w:before="60" w:after="60"/>
              <w:jc w:val="both"/>
              <w:rPr>
                <w:iCs/>
                <w:lang w:val="nl-NL"/>
              </w:rPr>
            </w:pPr>
            <w:r w:rsidRPr="00DB6405">
              <w:t>Cấp giấy phép di dời đối với công trình cấp đặc biệt, cấp I, cấp II (công trình Không theo tuyến/ Theo tuyến trong đô thị/Tín ngưỡng, tôn giáo/ Tượng đài, tranh hoành tráng/Theo giai đoạn cho công trình không theo tuyến/Theo giai đoạn cho công trình theo tuyến trong đô thị/Dự án).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rPr>
                <w:bCs/>
                <w:shd w:val="clear" w:color="auto" w:fill="FFFFFF"/>
              </w:rPr>
              <w:t>1.013231.H48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iCs/>
                <w:lang w:val="nl-NL"/>
              </w:rPr>
              <w:t xml:space="preserve">Cấp điều chỉnh giấy phép xây dựng đối với công trình cấp đặc biệt, cấp I, cấp II (công trình Không theo tuyến/Theo tuyến trong đô </w:t>
            </w:r>
            <w:r w:rsidRPr="00DB6405">
              <w:rPr>
                <w:iCs/>
                <w:lang w:val="nl-NL"/>
              </w:rPr>
              <w:lastRenderedPageBreak/>
              <w:t>thị/Tín ngưỡng, tôn giáo/Tượng đài, tranh hoành tráng/Theo giai đoạn cho công trình không theo tuyến/Theo giai đoạn cho công trình theo tuyến trong đô thị/Dự án).</w:t>
            </w:r>
          </w:p>
        </w:tc>
        <w:tc>
          <w:tcPr>
            <w:tcW w:w="2127" w:type="dxa"/>
            <w:shd w:val="clear" w:color="auto" w:fill="auto"/>
            <w:vAlign w:val="center"/>
          </w:tcPr>
          <w:p w:rsidR="00DF44B7" w:rsidRPr="00DB6405" w:rsidRDefault="00DF44B7" w:rsidP="00D306F5">
            <w:pPr>
              <w:spacing w:before="60" w:after="60"/>
              <w:jc w:val="both"/>
            </w:pPr>
            <w:r w:rsidRPr="00DB6405">
              <w:lastRenderedPageBreak/>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rPr>
                <w:bCs/>
                <w:shd w:val="clear" w:color="auto" w:fill="FFFFFF"/>
              </w:rPr>
              <w:t>1.013233.H48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iCs/>
                <w:lang w:val="nl-NL"/>
              </w:rPr>
              <w:t>Gia hạn giấy phép xây dựng đối với công trình cấp đặc biệt, cấp I, cấp II (công trình Không theo tuyến /Theo tuyến trong đô thị/Tín ngưỡng, tôn giáo/ Tượng đài, tranh hoành tráng/Theo giai đoạn cho công trình không theo tuyến/Theo giai đoạn cho công trình theo tuyến trong đô thị/Dự án).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rPr>
                <w:bCs/>
                <w:shd w:val="clear" w:color="auto" w:fill="FFFFFF"/>
              </w:rPr>
              <w:t>1.013235.H48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iCs/>
              </w:rPr>
              <w:t>Cấp lại giấy phép xây dựng đối với công trình cấp đặc biệt, cấp I, cấp II (công trình Không theo tuyến /Theo tuyến trong đô thị/Tín ngưỡng, tôn giáo/ Tượng đài, tranh hoành tráng/Theo giai đoạn cho công trình không theo tuyến/Theo giai đoạn cho công trình theo tuyến trong đô thị/Dự án).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rPr>
                <w:b/>
              </w:rPr>
            </w:pPr>
            <w:r w:rsidRPr="00DB6405">
              <w:rPr>
                <w:b/>
                <w:bCs/>
              </w:rPr>
              <w:t>Lĩnh vực quản lý chất lượng công trình</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rPr>
                <w:bCs/>
              </w:rPr>
              <w:t>1.009794</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Kiểm tra công tác nghiệm thu hoàn thành công trình của cơ quan chuyên môn về xây dựng tại địa phương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1.009788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Cho ý kiến về kết quả đánh giá an toàn công trình đối với công trình xây dựng nằm trên địa bàn tỉnh</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1.009791</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Cho ý kiến về việc kéo dài thời hạn sử dụng của công trình hết thời hạn sử dụng theo thiết kế nhưng có nhu cầu sử dụng tiếp (trừ trường hợp nhà ở riêng lẻ)</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pPr>
            <w:r w:rsidRPr="00DB6405">
              <w:rPr>
                <w:b/>
              </w:rPr>
              <w:t>Lĩnh vực quy hoạch xây dựng, kiến trúc</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b/>
                <w:bCs/>
                <w:shd w:val="clear" w:color="auto" w:fill="FFFFFF"/>
              </w:rPr>
            </w:pPr>
            <w:r w:rsidRPr="00DB6405">
              <w:rPr>
                <w:rStyle w:val="Strong"/>
                <w:b w:val="0"/>
                <w:shd w:val="clear" w:color="auto" w:fill="FFFFFF"/>
              </w:rPr>
              <w:t>1.008891.000.00.00.H48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chứng chỉ hành nghề kiến trúc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b/>
                <w:bCs/>
                <w:shd w:val="clear" w:color="auto" w:fill="FFFFFF"/>
              </w:rPr>
            </w:pPr>
            <w:r w:rsidRPr="00DB6405">
              <w:rPr>
                <w:rStyle w:val="Strong"/>
                <w:b w:val="0"/>
                <w:shd w:val="clear" w:color="auto" w:fill="FFFFFF"/>
              </w:rPr>
              <w:t>1.008989.000.00.00.H48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shd w:val="clear" w:color="auto" w:fill="FFFFFF"/>
              </w:rPr>
              <w:t xml:space="preserve">Cấp lại chứng chỉ hành nghề kiến trúc (do chứng chỉ hành nghề bị mất, hư hỏng hoặc thay đổi thông tin cá nhân được ghi trong chứng </w:t>
            </w:r>
            <w:r w:rsidRPr="00DB6405">
              <w:rPr>
                <w:shd w:val="clear" w:color="auto" w:fill="FFFFFF"/>
              </w:rPr>
              <w:lastRenderedPageBreak/>
              <w:t>chỉ hành nghề kiến trúc).</w:t>
            </w:r>
          </w:p>
        </w:tc>
        <w:tc>
          <w:tcPr>
            <w:tcW w:w="2127" w:type="dxa"/>
            <w:shd w:val="clear" w:color="auto" w:fill="auto"/>
            <w:vAlign w:val="center"/>
          </w:tcPr>
          <w:p w:rsidR="00DF44B7" w:rsidRPr="00DB6405" w:rsidRDefault="00DF44B7" w:rsidP="00D306F5">
            <w:pPr>
              <w:spacing w:before="60" w:after="60"/>
              <w:jc w:val="both"/>
            </w:pPr>
            <w:r w:rsidRPr="00DB6405">
              <w:lastRenderedPageBreak/>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b/>
                <w:bCs/>
                <w:shd w:val="clear" w:color="auto" w:fill="FFFFFF"/>
              </w:rPr>
            </w:pPr>
            <w:r w:rsidRPr="00DB6405">
              <w:rPr>
                <w:rStyle w:val="Strong"/>
                <w:b w:val="0"/>
                <w:shd w:val="clear" w:color="auto" w:fill="FFFFFF"/>
              </w:rPr>
              <w:t>1.008990.000.00.00.H48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lang w:val="pl-PL"/>
              </w:rPr>
              <w:t>Cấp lại chứng chỉ hành nghề kiến trúc bị ghi sai do lỗi của cơ quan cấp chứng chỉ hành nghề</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b/>
                <w:bCs/>
                <w:shd w:val="clear" w:color="auto" w:fill="FFFFFF"/>
              </w:rPr>
            </w:pPr>
            <w:r w:rsidRPr="00DB6405">
              <w:rPr>
                <w:rStyle w:val="Strong"/>
                <w:b w:val="0"/>
                <w:shd w:val="clear" w:color="auto" w:fill="FFFFFF"/>
              </w:rPr>
              <w:t>1.008991.000.00.00.H48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Gia hạn chứng chỉ hành nghề kiến trúc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Style w:val="Strong"/>
                <w:b w:val="0"/>
                <w:shd w:val="clear" w:color="auto" w:fill="FFFFFF"/>
              </w:rPr>
            </w:pPr>
            <w:r w:rsidRPr="00DB6405">
              <w:t>1.008992.000.00.00.H48</w:t>
            </w:r>
          </w:p>
        </w:tc>
        <w:tc>
          <w:tcPr>
            <w:tcW w:w="7791" w:type="dxa"/>
            <w:shd w:val="clear" w:color="auto" w:fill="auto"/>
            <w:vAlign w:val="center"/>
          </w:tcPr>
          <w:p w:rsidR="00DF44B7" w:rsidRPr="00DB6405" w:rsidRDefault="00DF44B7" w:rsidP="00D306F5">
            <w:pPr>
              <w:spacing w:before="60" w:after="60"/>
              <w:jc w:val="both"/>
            </w:pPr>
            <w:r w:rsidRPr="00DB6405">
              <w:t>Công nhận chứng chỉ hành nghề kiến trúc của người nước ngoài ở Việt Nam</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Style w:val="Strong"/>
                <w:b w:val="0"/>
                <w:shd w:val="clear" w:color="auto" w:fill="FFFFFF"/>
              </w:rPr>
            </w:pPr>
            <w:r w:rsidRPr="00DB6405">
              <w:t>1.008993.000.00.00.H48</w:t>
            </w:r>
          </w:p>
        </w:tc>
        <w:tc>
          <w:tcPr>
            <w:tcW w:w="7791" w:type="dxa"/>
            <w:shd w:val="clear" w:color="auto" w:fill="auto"/>
            <w:vAlign w:val="center"/>
          </w:tcPr>
          <w:p w:rsidR="00DF44B7" w:rsidRPr="00DB6405" w:rsidRDefault="00DF44B7" w:rsidP="00D306F5">
            <w:pPr>
              <w:spacing w:before="60" w:after="60"/>
              <w:jc w:val="both"/>
            </w:pPr>
            <w:r w:rsidRPr="00DB6405">
              <w:t>Chuyển đổi chứng chỉ hành nghề kiến trúc của người nước ngoài ở Việt Nam</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rPr>
                <w:b/>
              </w:rPr>
            </w:pPr>
            <w:r w:rsidRPr="00DB6405">
              <w:rPr>
                <w:b/>
              </w:rPr>
              <w:t>Lĩnh vực nhà ở và công sở</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1.013769.H48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Chuyển đổi công năng nhà ở không thuộc tài sản công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1.012887.H48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Đề xuất cơ chế ưu đãi đầu tư theo quy định tại điểm c khoản 2 Điều 198 của Luật Nhà ở 2023</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1.012891.H48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Cho thuê nhà ở công vụ thuộc thẩm quyền quản lý của địa phương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1.012892.H48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Cho thuê nhà ở cũ thuộc tài sản công đối với trường hợp chưa có hợp đồng thuê nhà ở</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1.012897.H48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Cho thuê nhà ở cũ thuộc tài sản công đối với trường hợp nhận chuyển quyền thuê nhà ở</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1.012882.H48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Thông báo đủ điều kiện được huy động vốn thông qua việc góp vốn, hợp tác đầu tư, hợp tác kinh doanh, liên doanh, liên kết của các tổ chức và cá nhân để phát triển nhà ở</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1.012883.H48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Chuyển đổi công năng nhà ở đối với nhà ở xây dựng trong dự án thuộc thẩm quyền chấp thuận của Ủy ban nhân dân cấp tỉnh</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1.012884.H48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 xml:space="preserve">Thông báo đơn vị đủ điều kiện quản lý vận hành nhà chung cư đối </w:t>
            </w:r>
            <w:r w:rsidRPr="00DB6405">
              <w:lastRenderedPageBreak/>
              <w:t>với trường hợp nộp hồ sơ tại Sở Xây dựng</w:t>
            </w:r>
          </w:p>
        </w:tc>
        <w:tc>
          <w:tcPr>
            <w:tcW w:w="2127" w:type="dxa"/>
            <w:shd w:val="clear" w:color="auto" w:fill="auto"/>
            <w:vAlign w:val="center"/>
          </w:tcPr>
          <w:p w:rsidR="00DF44B7" w:rsidRPr="00DB6405" w:rsidRDefault="00DF44B7" w:rsidP="00D306F5">
            <w:pPr>
              <w:spacing w:before="60" w:after="60"/>
              <w:jc w:val="both"/>
            </w:pPr>
            <w:r w:rsidRPr="00DB6405">
              <w:lastRenderedPageBreak/>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1.012886.H48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Điều chỉnh chấp thuận chủ trương đầu tư đồng thời với chấp thuận nhà đầu tư làm chủ đầu tư đối với dự án cải tạo, xây dựng lại nhà chung cư không bằng nguồn vốn đầu tư công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1.012893.H48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Bán nhà ở cũ thuộc tài sản công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1.012898.H48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Cho thuê nhà ở cũ thuộc tài sản công đối với trường hợp ký lại hợp đồng thuê</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1.012895.H48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Thẩm định giá bán, giá thuê mua nhà ở xã hội/nhà ở cho lực lượng vũ trang nhân dân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1.012896.H48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Cho thuê, cho thuê mua nhà ở xã hội do Nhà nước đầu tư xây dựng bằng vốn đầu tư công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3.000506.H48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Thủ tục giao chủ đầu tư không thông qua đấu thầu đối với trường hợp dự án đầu tư xây dựng nhà ở xã hội đã được chấp thuận chủ trương đầu tư, chấp thuận đầu tư hoặc có văn bản pháp lý tương đương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3.000508.H48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Thủ tục điều chỉnh quyết định giao chủ đầu tư, quyết định chấp thuận chủ trương đầu tư đồng thời giao chủ đầu tư đối với dự án đầu tư xây dựng nhà ở xã hội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3.000507.H48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Thủ tục chấp thuận chủ trương đầu tư đồng thời giao chủ đầu tư đối với trường hợp dự án đầu tư xây dựng nhà ở xã hội chưa được chấp thuận chủ trương đầu tư, chấp thuận đầu tư hoặc chưa có văn bản pháp lý tương đương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1.012890.H48</w:t>
            </w:r>
          </w:p>
        </w:tc>
        <w:tc>
          <w:tcPr>
            <w:tcW w:w="7791" w:type="dxa"/>
            <w:shd w:val="clear" w:color="auto" w:fill="auto"/>
            <w:vAlign w:val="center"/>
          </w:tcPr>
          <w:p w:rsidR="00DF44B7" w:rsidRPr="00DB6405" w:rsidRDefault="00DF44B7" w:rsidP="00D306F5">
            <w:pPr>
              <w:spacing w:before="60" w:after="60"/>
              <w:jc w:val="both"/>
            </w:pPr>
            <w:r w:rsidRPr="00DB6405">
              <w:t>Gia hạn thời hạn sở hữu nhà ở tại Việt Nam của tổ chức, cá nhân nước ngoài</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pPr>
            <w:r w:rsidRPr="00DB6405">
              <w:t>1.012894.H48</w:t>
            </w:r>
          </w:p>
        </w:tc>
        <w:tc>
          <w:tcPr>
            <w:tcW w:w="7791" w:type="dxa"/>
            <w:shd w:val="clear" w:color="auto" w:fill="auto"/>
            <w:vAlign w:val="center"/>
          </w:tcPr>
          <w:p w:rsidR="00DF44B7" w:rsidRPr="00DB6405" w:rsidRDefault="00DF44B7" w:rsidP="00D306F5">
            <w:pPr>
              <w:spacing w:before="60" w:after="60"/>
              <w:jc w:val="both"/>
            </w:pPr>
            <w:r w:rsidRPr="00DB6405">
              <w:t>Giải quyết bán phần diện tích nhà đất sử dụng chung của nhà ở cũ thuộc tài sản công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rPr>
                <w:b/>
              </w:rPr>
            </w:pPr>
            <w:r w:rsidRPr="00DB6405">
              <w:rPr>
                <w:b/>
              </w:rPr>
              <w:t>Lĩnh vực kinh doanh bất động sản</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1.012900.H48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giấy phép hoạt động của Sàn giao dịch bất động sản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1.012906.H48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mới chứng chỉ hành nghề môi giới bất động sản.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1.012901.H48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phép hoạt động của Sàn giao dịch bất động sản (trong trường hợp Giấy phép bị mất, bị rách, bị cháy, bị tiêu hủy, bị hỏng)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1.012902.H48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giấy phép hoạt động của Sàn giao dịch bất động sản (trong trường hợp thay đổi thông tin của sàn)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1.012903.H48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Thông báo quyền sử dụng đất đã có hạ tầng kỹ thuật trong dự án bất động sản đủ điều kiện chuyển nhượng cho cá nhân tự xây dựng nhà ở</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1.012907.H48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chứng chỉ hành nghề môi giới bất động sản (trong trường hợp chứng chỉ bị cháy, bị mất, bị rách, bị hủy hoại do thiên tai hoặc lý do bất khả kháng khác)</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1.012910.H48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Cấp lại chứng chỉ hành nghề môi giới bất động sản (trong trường hợp chứng chỉ cũ đã hết hạn hoặc gần hết hạn)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1.012905.H48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Thông báo nhà ở hình thành trong tương lai đủ điều kiện được bán, cho thuê mua</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1.013777.H48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Cho phép chuyển nhượng toàn bộ hoặc một phần dự án bất động sản</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1.012904.H48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Đăng ký cấp quyền khai thác, sử dụng thông tin, dữ liệu về nhà ở và thị trường bất động sản thuộc thẩm quyền giải quyết của Ủy ban nhân dân cấp tỉnh</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rPr>
                <w:lang w:val="nl-NL"/>
              </w:rPr>
            </w:pPr>
            <w:r w:rsidRPr="00DB6405">
              <w:rPr>
                <w:b/>
              </w:rPr>
              <w:t>Lĩnh vực thí nghiệm chuyên ngành xây dựng</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b/>
              </w:rPr>
            </w:pPr>
            <w:r w:rsidRPr="00DB6405">
              <w:rPr>
                <w:rStyle w:val="Strong"/>
                <w:b w:val="0"/>
                <w:shd w:val="clear" w:color="auto" w:fill="FFFFFF"/>
              </w:rPr>
              <w:t>1.011705.H48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rFonts w:eastAsia="Arial Unicode MS"/>
                <w:lang w:val="vi-VN"/>
              </w:rPr>
              <w:t>Cấp mới Giấy chứng nhận đủ điều kiện hoạt động thí nghiệm chuyên ngành xây dựng (trong trường hợp: Cấp lần đầu hoặc Giấy chứng nhận hết hạn mà tổ chức hoạt động thí nghiệm chuyên ngành xây dựng có nhu cầu tiếp tục hoạt động)</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b/>
              </w:rPr>
            </w:pPr>
            <w:r w:rsidRPr="00DB6405">
              <w:rPr>
                <w:rStyle w:val="Strong"/>
                <w:b w:val="0"/>
                <w:shd w:val="clear" w:color="auto" w:fill="FFFFFF"/>
              </w:rPr>
              <w:t>1.011708.H48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rFonts w:eastAsia="Arial Unicode MS"/>
                <w:lang w:val="vi-VN"/>
              </w:rPr>
              <w:t>Cấp lại Giấy chứng nhận đủ điều kiện hoạt động thí nghiệm chuyên ngành xây dựng (còn thời hạn nhưng bị mất hoặc hư hỏng hoặc bị ghi sai thông tin hoặc tổ chức hoạt động thí nghiệm chuyên ngành xây dựng xin dừng thực hiện một số chỉ tiêu trong Giấy chứng nhận đủ điều kiện hoạt động thí nghiệm chuyên ngành xây dựng)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b/>
              </w:rPr>
            </w:pPr>
            <w:r w:rsidRPr="00DB6405">
              <w:rPr>
                <w:rStyle w:val="Strong"/>
                <w:b w:val="0"/>
                <w:shd w:val="clear" w:color="auto" w:fill="FFFFFF"/>
              </w:rPr>
              <w:t>1.011710.H48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rFonts w:eastAsia="Arial Unicode MS"/>
                <w:lang w:val="vi-VN"/>
              </w:rPr>
              <w:t>Bổ sung, sửa đổi Giấy chứng nhận đủ điều kiện hoạt động thí nghiệm chuyên ngành xây dựng (trong trường hợp tổ chức hoạt động thí nghiệm chuyên ngành xây dựng thay đổi địa chỉ, tên của tổ chức  trong Giấy chứng nhận đủ điều kiện hoạt động thí nghiệm chuyên ngành xây dựng đã được cấp)</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b/>
              </w:rPr>
            </w:pPr>
            <w:r w:rsidRPr="00DB6405">
              <w:rPr>
                <w:rStyle w:val="Strong"/>
                <w:b w:val="0"/>
                <w:shd w:val="clear" w:color="auto" w:fill="FFFFFF"/>
              </w:rPr>
              <w:t>1.011711.H48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rPr>
                <w:rFonts w:eastAsia="Arial Unicode MS"/>
                <w:lang w:val="vi-VN"/>
              </w:rPr>
              <w:t>Bổ sung, sửa đổi Giấy chứng nhận đủ điều kiện hoạt động thí nghiệm chuyên ngành xây dựng (trong trường hợp tổ chức hoạt động thí nghiệm chuyên ngành xây dựng thay đổi địa điểm đặt phòng thí nghiệm hoặc thay đổi, bổ sung, sửa đổi chỉ tiêu thí nghiệm, tiêu chuẩn thí nghiệm trong Giấy chứng nhận đủ điều kiện hoạt động thí nghiệm chuyên ngành xây dựng)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rPr>
                <w:b/>
              </w:rPr>
            </w:pPr>
            <w:r w:rsidRPr="00DB6405">
              <w:rPr>
                <w:b/>
              </w:rPr>
              <w:t>Lĩnh vực vật liệu xây dựng</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b/>
              </w:rPr>
            </w:pPr>
            <w:r w:rsidRPr="00DB6405">
              <w:rPr>
                <w:shd w:val="clear" w:color="auto" w:fill="FFFFFF"/>
              </w:rPr>
              <w:t>1.006871.000.00.00.H48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Công bố hợp quy sản phẩm, hàng hóa vật liệu xây dựng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spacing w:before="60" w:after="60"/>
              <w:ind w:left="502"/>
              <w:jc w:val="center"/>
            </w:pPr>
          </w:p>
        </w:tc>
        <w:tc>
          <w:tcPr>
            <w:tcW w:w="10914" w:type="dxa"/>
            <w:gridSpan w:val="2"/>
            <w:shd w:val="clear" w:color="auto" w:fill="auto"/>
            <w:vAlign w:val="center"/>
          </w:tcPr>
          <w:p w:rsidR="00DF44B7" w:rsidRPr="00DB6405" w:rsidRDefault="00DF44B7" w:rsidP="00D306F5">
            <w:pPr>
              <w:spacing w:before="60" w:after="60"/>
              <w:jc w:val="both"/>
              <w:rPr>
                <w:b/>
              </w:rPr>
            </w:pPr>
            <w:r w:rsidRPr="00DB6405">
              <w:rPr>
                <w:b/>
              </w:rPr>
              <w:t>Lĩnh vực giám định tư pháp</w:t>
            </w:r>
          </w:p>
        </w:tc>
        <w:tc>
          <w:tcPr>
            <w:tcW w:w="2127" w:type="dxa"/>
            <w:shd w:val="clear" w:color="auto" w:fill="auto"/>
            <w:vAlign w:val="center"/>
          </w:tcPr>
          <w:p w:rsidR="00DF44B7" w:rsidRPr="00DB6405" w:rsidRDefault="00DF44B7" w:rsidP="00D306F5">
            <w:pPr>
              <w:spacing w:before="60" w:after="60"/>
              <w:jc w:val="both"/>
            </w:pP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2.001116.H48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Bổ nhiệm và cấp thẻ giám định viên tư pháp xây dựng ở địa phương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r w:rsidR="00DF44B7" w:rsidRPr="00DB6405" w:rsidTr="00D306F5">
        <w:tc>
          <w:tcPr>
            <w:tcW w:w="993" w:type="dxa"/>
            <w:shd w:val="clear" w:color="auto" w:fill="auto"/>
            <w:vAlign w:val="center"/>
          </w:tcPr>
          <w:p w:rsidR="00DF44B7" w:rsidRPr="00DB6405" w:rsidRDefault="00DF44B7" w:rsidP="00D306F5">
            <w:pPr>
              <w:numPr>
                <w:ilvl w:val="0"/>
                <w:numId w:val="1"/>
              </w:numPr>
              <w:spacing w:before="60" w:after="60"/>
              <w:jc w:val="center"/>
            </w:pPr>
          </w:p>
        </w:tc>
        <w:tc>
          <w:tcPr>
            <w:tcW w:w="3123" w:type="dxa"/>
            <w:shd w:val="clear" w:color="auto" w:fill="auto"/>
            <w:vAlign w:val="center"/>
          </w:tcPr>
          <w:p w:rsidR="00DF44B7" w:rsidRPr="00DB6405" w:rsidRDefault="00DF44B7" w:rsidP="00D306F5">
            <w:pPr>
              <w:spacing w:before="60" w:after="60"/>
              <w:jc w:val="both"/>
              <w:rPr>
                <w:rFonts w:eastAsia="Calibri"/>
              </w:rPr>
            </w:pPr>
            <w:r w:rsidRPr="00DB6405">
              <w:t>1.011675.H48</w:t>
            </w:r>
          </w:p>
        </w:tc>
        <w:tc>
          <w:tcPr>
            <w:tcW w:w="7791" w:type="dxa"/>
            <w:shd w:val="clear" w:color="auto" w:fill="auto"/>
            <w:vAlign w:val="center"/>
          </w:tcPr>
          <w:p w:rsidR="00DF44B7" w:rsidRPr="00DB6405" w:rsidRDefault="00DF44B7" w:rsidP="00D306F5">
            <w:pPr>
              <w:spacing w:before="60" w:after="60"/>
              <w:jc w:val="both"/>
              <w:rPr>
                <w:rFonts w:eastAsia="Calibri"/>
              </w:rPr>
            </w:pPr>
            <w:r w:rsidRPr="00DB6405">
              <w:t>Miễn nhiệm và thu hồi thẻ giám định viên tư pháp xây dựng ở địa phương</w:t>
            </w:r>
          </w:p>
        </w:tc>
        <w:tc>
          <w:tcPr>
            <w:tcW w:w="2127" w:type="dxa"/>
            <w:shd w:val="clear" w:color="auto" w:fill="auto"/>
            <w:vAlign w:val="center"/>
          </w:tcPr>
          <w:p w:rsidR="00DF44B7" w:rsidRPr="00DB6405" w:rsidRDefault="00DF44B7" w:rsidP="00D306F5">
            <w:pPr>
              <w:spacing w:before="60" w:after="60"/>
              <w:jc w:val="both"/>
            </w:pPr>
            <w:r w:rsidRPr="00DB6405">
              <w:t>Cấp tỉnh</w:t>
            </w:r>
          </w:p>
        </w:tc>
      </w:tr>
    </w:tbl>
    <w:p w:rsidR="00F320DE" w:rsidRDefault="00F320DE"/>
    <w:sectPr w:rsidR="00F320DE" w:rsidSect="00DF44B7">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63370"/>
    <w:multiLevelType w:val="hybridMultilevel"/>
    <w:tmpl w:val="3AFA0152"/>
    <w:lvl w:ilvl="0" w:tplc="ED8EFDF2">
      <w:start w:val="1"/>
      <w:numFmt w:val="decimal"/>
      <w:lvlText w:val="%1"/>
      <w:lvlJc w:val="center"/>
      <w:pPr>
        <w:ind w:left="644"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B7"/>
    <w:rsid w:val="00DF44B7"/>
    <w:rsid w:val="00F3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B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rsid w:val="00DF44B7"/>
  </w:style>
  <w:style w:type="character" w:styleId="Strong">
    <w:name w:val="Strong"/>
    <w:uiPriority w:val="22"/>
    <w:qFormat/>
    <w:rsid w:val="00DF44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B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rsid w:val="00DF44B7"/>
  </w:style>
  <w:style w:type="character" w:styleId="Strong">
    <w:name w:val="Strong"/>
    <w:uiPriority w:val="22"/>
    <w:qFormat/>
    <w:rsid w:val="00DF4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tuc.dichvucong.gov.vn/p/home/dvc-tthc-thu-tuc-hanh-chinh-chi-tiet.html?ma_thu_tuc=2705" TargetMode="External"/><Relationship Id="rId3" Type="http://schemas.microsoft.com/office/2007/relationships/stylesWithEffects" Target="stylesWithEffects.xml"/><Relationship Id="rId7" Type="http://schemas.openxmlformats.org/officeDocument/2006/relationships/hyperlink" Target="https://thutuc.dichvucong.gov.vn/p/home/dvc-tthc-thu-tuc-hanh-chinh-chi-tiet.html?ma_thu_tuc=3748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tuc.dichvucong.gov.vn/p/home/dvc-tthc-thu-tuc-hanh-chinh-chi-tiet.html?ma_thu_tuc=37487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3083</Words>
  <Characters>17579</Characters>
  <Application>Microsoft Office Word</Application>
  <DocSecurity>0</DocSecurity>
  <Lines>146</Lines>
  <Paragraphs>41</Paragraphs>
  <ScaleCrop>false</ScaleCrop>
  <Company/>
  <LinksUpToDate>false</LinksUpToDate>
  <CharactersWithSpaces>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DUNG</cp:lastModifiedBy>
  <cp:revision>1</cp:revision>
  <dcterms:created xsi:type="dcterms:W3CDTF">2025-09-10T04:08:00Z</dcterms:created>
  <dcterms:modified xsi:type="dcterms:W3CDTF">2025-09-10T04:09:00Z</dcterms:modified>
</cp:coreProperties>
</file>